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062990" w14:textId="77777777" w:rsidR="00107C5E" w:rsidRPr="00C86013" w:rsidRDefault="00107C5E" w:rsidP="00C86013">
      <w:pPr>
        <w:spacing w:after="0" w:line="480" w:lineRule="auto"/>
        <w:jc w:val="center"/>
        <w:rPr>
          <w:rFonts w:ascii="Times New Roman" w:hAnsi="Times New Roman" w:cs="Times New Roman"/>
          <w:bCs/>
          <w:sz w:val="24"/>
          <w:szCs w:val="24"/>
        </w:rPr>
      </w:pPr>
    </w:p>
    <w:p w14:paraId="46E15264" w14:textId="77777777" w:rsidR="00107C5E" w:rsidRPr="00C86013" w:rsidRDefault="00107C5E" w:rsidP="00C86013">
      <w:pPr>
        <w:spacing w:after="0" w:line="480" w:lineRule="auto"/>
        <w:jc w:val="center"/>
        <w:rPr>
          <w:rFonts w:ascii="Times New Roman" w:hAnsi="Times New Roman" w:cs="Times New Roman"/>
          <w:bCs/>
          <w:sz w:val="24"/>
          <w:szCs w:val="24"/>
        </w:rPr>
      </w:pPr>
    </w:p>
    <w:p w14:paraId="45FF90EE" w14:textId="77777777" w:rsidR="00107C5E" w:rsidRPr="00C86013" w:rsidRDefault="00107C5E" w:rsidP="00C86013">
      <w:pPr>
        <w:spacing w:after="0" w:line="480" w:lineRule="auto"/>
        <w:jc w:val="center"/>
        <w:rPr>
          <w:rFonts w:ascii="Times New Roman" w:hAnsi="Times New Roman" w:cs="Times New Roman"/>
          <w:bCs/>
          <w:sz w:val="24"/>
          <w:szCs w:val="24"/>
        </w:rPr>
      </w:pPr>
    </w:p>
    <w:p w14:paraId="1FAF0CDA" w14:textId="6EEBB40C" w:rsidR="004E29E7" w:rsidRPr="00C86013" w:rsidRDefault="00D64008" w:rsidP="00C86013">
      <w:pPr>
        <w:spacing w:after="0" w:line="480" w:lineRule="auto"/>
        <w:jc w:val="center"/>
        <w:rPr>
          <w:rFonts w:ascii="Times New Roman" w:hAnsi="Times New Roman" w:cs="Times New Roman"/>
          <w:bCs/>
          <w:sz w:val="24"/>
          <w:szCs w:val="24"/>
        </w:rPr>
      </w:pPr>
      <w:r w:rsidRPr="00C86013">
        <w:rPr>
          <w:rFonts w:ascii="Times New Roman" w:hAnsi="Times New Roman" w:cs="Times New Roman"/>
          <w:bCs/>
          <w:sz w:val="24"/>
          <w:szCs w:val="24"/>
        </w:rPr>
        <w:t>Mega Borg Incident</w:t>
      </w:r>
    </w:p>
    <w:p w14:paraId="198CC730" w14:textId="47A0E28C" w:rsidR="004E3C61" w:rsidRPr="00C86013" w:rsidRDefault="00FF7B78" w:rsidP="00C86013">
      <w:pPr>
        <w:spacing w:after="0" w:line="480" w:lineRule="auto"/>
        <w:jc w:val="center"/>
        <w:rPr>
          <w:rFonts w:ascii="Times New Roman" w:hAnsi="Times New Roman" w:cs="Times New Roman"/>
          <w:bCs/>
          <w:sz w:val="24"/>
          <w:szCs w:val="24"/>
        </w:rPr>
      </w:pPr>
      <w:r w:rsidRPr="00C86013">
        <w:rPr>
          <w:rFonts w:ascii="Times New Roman" w:hAnsi="Times New Roman" w:cs="Times New Roman"/>
          <w:bCs/>
          <w:sz w:val="24"/>
          <w:szCs w:val="24"/>
        </w:rPr>
        <w:t>Name</w:t>
      </w:r>
    </w:p>
    <w:p w14:paraId="3D91636C" w14:textId="30902337" w:rsidR="00107C5E" w:rsidRPr="00C86013" w:rsidRDefault="00FF7B78" w:rsidP="00C86013">
      <w:pPr>
        <w:spacing w:after="0" w:line="480" w:lineRule="auto"/>
        <w:jc w:val="center"/>
        <w:rPr>
          <w:rFonts w:ascii="Times New Roman" w:hAnsi="Times New Roman" w:cs="Times New Roman"/>
          <w:bCs/>
          <w:sz w:val="24"/>
          <w:szCs w:val="24"/>
        </w:rPr>
      </w:pPr>
      <w:r w:rsidRPr="00C86013">
        <w:rPr>
          <w:rFonts w:ascii="Times New Roman" w:hAnsi="Times New Roman" w:cs="Times New Roman"/>
          <w:bCs/>
          <w:sz w:val="24"/>
          <w:szCs w:val="24"/>
        </w:rPr>
        <w:t>Institution</w:t>
      </w:r>
    </w:p>
    <w:p w14:paraId="4782E3C6" w14:textId="0862587E" w:rsidR="00107C5E" w:rsidRPr="00C86013" w:rsidRDefault="00D64008" w:rsidP="00C86013">
      <w:pPr>
        <w:spacing w:after="0" w:line="480" w:lineRule="auto"/>
        <w:jc w:val="center"/>
        <w:rPr>
          <w:rFonts w:ascii="Times New Roman" w:hAnsi="Times New Roman" w:cs="Times New Roman"/>
          <w:bCs/>
          <w:sz w:val="24"/>
          <w:szCs w:val="24"/>
        </w:rPr>
      </w:pPr>
      <w:r w:rsidRPr="00C86013">
        <w:rPr>
          <w:rFonts w:ascii="Times New Roman" w:hAnsi="Times New Roman" w:cs="Times New Roman"/>
          <w:bCs/>
          <w:sz w:val="24"/>
          <w:szCs w:val="24"/>
        </w:rPr>
        <w:t>TRS 395</w:t>
      </w:r>
      <w:r w:rsidR="00DE3854" w:rsidRPr="00C86013">
        <w:rPr>
          <w:rFonts w:ascii="Times New Roman" w:hAnsi="Times New Roman" w:cs="Times New Roman"/>
          <w:bCs/>
          <w:sz w:val="24"/>
          <w:szCs w:val="24"/>
        </w:rPr>
        <w:t xml:space="preserve"> – </w:t>
      </w:r>
      <w:r w:rsidRPr="00C86013">
        <w:rPr>
          <w:rFonts w:ascii="Times New Roman" w:hAnsi="Times New Roman" w:cs="Times New Roman"/>
          <w:bCs/>
          <w:sz w:val="24"/>
          <w:szCs w:val="24"/>
        </w:rPr>
        <w:t>Marine Transportation Safety</w:t>
      </w:r>
      <w:r w:rsidR="00FC480C" w:rsidRPr="00C86013">
        <w:rPr>
          <w:rFonts w:ascii="Times New Roman" w:hAnsi="Times New Roman" w:cs="Times New Roman"/>
          <w:bCs/>
          <w:sz w:val="24"/>
          <w:szCs w:val="24"/>
        </w:rPr>
        <w:t xml:space="preserve"> </w:t>
      </w:r>
    </w:p>
    <w:p w14:paraId="1BDA0D4C" w14:textId="7F4F713C" w:rsidR="00EE2E63" w:rsidRPr="00C86013" w:rsidRDefault="00DE3854" w:rsidP="00C86013">
      <w:pPr>
        <w:spacing w:after="0" w:line="480" w:lineRule="auto"/>
        <w:jc w:val="center"/>
        <w:rPr>
          <w:rFonts w:ascii="Times New Roman" w:hAnsi="Times New Roman" w:cs="Times New Roman"/>
          <w:bCs/>
          <w:sz w:val="24"/>
          <w:szCs w:val="24"/>
        </w:rPr>
      </w:pPr>
      <w:r w:rsidRPr="00C86013">
        <w:rPr>
          <w:rFonts w:ascii="Times New Roman" w:hAnsi="Times New Roman" w:cs="Times New Roman"/>
          <w:bCs/>
          <w:sz w:val="24"/>
          <w:szCs w:val="24"/>
        </w:rPr>
        <w:t>1/1</w:t>
      </w:r>
      <w:r w:rsidR="00D64008" w:rsidRPr="00C86013">
        <w:rPr>
          <w:rFonts w:ascii="Times New Roman" w:hAnsi="Times New Roman" w:cs="Times New Roman"/>
          <w:bCs/>
          <w:sz w:val="24"/>
          <w:szCs w:val="24"/>
        </w:rPr>
        <w:t>9</w:t>
      </w:r>
      <w:r w:rsidRPr="00C86013">
        <w:rPr>
          <w:rFonts w:ascii="Times New Roman" w:hAnsi="Times New Roman" w:cs="Times New Roman"/>
          <w:bCs/>
          <w:sz w:val="24"/>
          <w:szCs w:val="24"/>
        </w:rPr>
        <w:t>/2020</w:t>
      </w:r>
      <w:r w:rsidR="00FC480C" w:rsidRPr="00C86013">
        <w:rPr>
          <w:rFonts w:ascii="Times New Roman" w:hAnsi="Times New Roman" w:cs="Times New Roman"/>
          <w:bCs/>
          <w:sz w:val="24"/>
          <w:szCs w:val="24"/>
        </w:rPr>
        <w:t xml:space="preserve"> </w:t>
      </w:r>
      <w:r w:rsidR="00FC480C" w:rsidRPr="00C86013">
        <w:rPr>
          <w:rFonts w:ascii="Times New Roman" w:hAnsi="Times New Roman" w:cs="Times New Roman"/>
          <w:bCs/>
          <w:sz w:val="24"/>
          <w:szCs w:val="24"/>
        </w:rPr>
        <w:br w:type="page"/>
      </w:r>
    </w:p>
    <w:p w14:paraId="12679A84" w14:textId="77777777" w:rsidR="00C86013" w:rsidRPr="00C86013" w:rsidRDefault="00C86013" w:rsidP="00C86013">
      <w:pPr>
        <w:spacing w:after="0" w:line="480" w:lineRule="auto"/>
        <w:jc w:val="center"/>
        <w:rPr>
          <w:rFonts w:ascii="Times New Roman" w:hAnsi="Times New Roman" w:cs="Times New Roman"/>
          <w:bCs/>
          <w:sz w:val="24"/>
          <w:szCs w:val="24"/>
        </w:rPr>
      </w:pPr>
      <w:r w:rsidRPr="00C86013">
        <w:rPr>
          <w:rFonts w:ascii="Times New Roman" w:hAnsi="Times New Roman" w:cs="Times New Roman"/>
          <w:bCs/>
          <w:sz w:val="24"/>
          <w:szCs w:val="24"/>
        </w:rPr>
        <w:lastRenderedPageBreak/>
        <w:t>Mega Borg Incident</w:t>
      </w:r>
    </w:p>
    <w:p w14:paraId="1DCC07C6" w14:textId="62054381" w:rsidR="00107C5E" w:rsidRPr="00C86013" w:rsidRDefault="00CF2774" w:rsidP="00C86013">
      <w:pPr>
        <w:spacing w:after="0" w:line="480" w:lineRule="auto"/>
        <w:ind w:firstLine="720"/>
        <w:jc w:val="both"/>
        <w:rPr>
          <w:rFonts w:ascii="Times New Roman" w:hAnsi="Times New Roman" w:cs="Times New Roman"/>
          <w:bCs/>
          <w:sz w:val="24"/>
          <w:szCs w:val="24"/>
        </w:rPr>
      </w:pPr>
      <w:r w:rsidRPr="00C86013">
        <w:rPr>
          <w:rFonts w:ascii="Times New Roman" w:hAnsi="Times New Roman" w:cs="Times New Roman"/>
          <w:bCs/>
          <w:sz w:val="24"/>
          <w:szCs w:val="24"/>
        </w:rPr>
        <w:t xml:space="preserve">The United States has seen a significant number of oil spills over the last 50 years as the result of transport vessel accidents. One accident in particular is the Mega Borg, which is believed to be one of the final </w:t>
      </w:r>
      <w:r w:rsidR="00500C25" w:rsidRPr="00C86013">
        <w:rPr>
          <w:rFonts w:ascii="Times New Roman" w:hAnsi="Times New Roman" w:cs="Times New Roman"/>
          <w:bCs/>
          <w:sz w:val="24"/>
          <w:szCs w:val="24"/>
        </w:rPr>
        <w:t xml:space="preserve">oil spill </w:t>
      </w:r>
      <w:r w:rsidRPr="00C86013">
        <w:rPr>
          <w:rFonts w:ascii="Times New Roman" w:hAnsi="Times New Roman" w:cs="Times New Roman"/>
          <w:bCs/>
          <w:sz w:val="24"/>
          <w:szCs w:val="24"/>
        </w:rPr>
        <w:t xml:space="preserve">incidents to help push along certain legislation </w:t>
      </w:r>
      <w:r w:rsidR="00EE62E1" w:rsidRPr="00C86013">
        <w:rPr>
          <w:rFonts w:ascii="Times New Roman" w:hAnsi="Times New Roman" w:cs="Times New Roman"/>
          <w:bCs/>
          <w:sz w:val="24"/>
          <w:szCs w:val="24"/>
        </w:rPr>
        <w:t>regarding</w:t>
      </w:r>
      <w:r w:rsidRPr="00C86013">
        <w:rPr>
          <w:rFonts w:ascii="Times New Roman" w:hAnsi="Times New Roman" w:cs="Times New Roman"/>
          <w:bCs/>
          <w:sz w:val="24"/>
          <w:szCs w:val="24"/>
        </w:rPr>
        <w:t xml:space="preserve"> oil spill response and responsibility. </w:t>
      </w:r>
      <w:r w:rsidR="00EE62E1" w:rsidRPr="00C86013">
        <w:rPr>
          <w:rFonts w:ascii="Times New Roman" w:hAnsi="Times New Roman" w:cs="Times New Roman"/>
          <w:bCs/>
          <w:sz w:val="24"/>
          <w:szCs w:val="24"/>
        </w:rPr>
        <w:t>The Mega Borg incident came just a little over a year after the Exxon Valdez oil spill</w:t>
      </w:r>
      <w:r w:rsidR="003447B8" w:rsidRPr="00C86013">
        <w:rPr>
          <w:rFonts w:ascii="Times New Roman" w:hAnsi="Times New Roman" w:cs="Times New Roman"/>
          <w:bCs/>
          <w:sz w:val="24"/>
          <w:szCs w:val="24"/>
        </w:rPr>
        <w:t>,</w:t>
      </w:r>
      <w:r w:rsidR="00EE62E1" w:rsidRPr="00C86013">
        <w:rPr>
          <w:rFonts w:ascii="Times New Roman" w:hAnsi="Times New Roman" w:cs="Times New Roman"/>
          <w:bCs/>
          <w:sz w:val="24"/>
          <w:szCs w:val="24"/>
        </w:rPr>
        <w:t xml:space="preserve"> which dumped approximately 11 million gallons of oil. The magnitude of the Mega Borg</w:t>
      </w:r>
      <w:r w:rsidR="00500C25" w:rsidRPr="00C86013">
        <w:rPr>
          <w:rFonts w:ascii="Times New Roman" w:hAnsi="Times New Roman" w:cs="Times New Roman"/>
          <w:bCs/>
          <w:sz w:val="24"/>
          <w:szCs w:val="24"/>
        </w:rPr>
        <w:t xml:space="preserve"> oil spill</w:t>
      </w:r>
      <w:r w:rsidR="00EE62E1" w:rsidRPr="00C86013">
        <w:rPr>
          <w:rFonts w:ascii="Times New Roman" w:hAnsi="Times New Roman" w:cs="Times New Roman"/>
          <w:bCs/>
          <w:sz w:val="24"/>
          <w:szCs w:val="24"/>
        </w:rPr>
        <w:t xml:space="preserve"> was not as great as the Exxon Valdez but did have an impact on the industry at a time when much conversation was going on involving oil spill prevention and protecting the environment.</w:t>
      </w:r>
    </w:p>
    <w:p w14:paraId="746BA243" w14:textId="20CEF039" w:rsidR="00BE1D90" w:rsidRPr="00C86013" w:rsidRDefault="00BE1D90" w:rsidP="00C86013">
      <w:pPr>
        <w:spacing w:after="0" w:line="480" w:lineRule="auto"/>
        <w:ind w:firstLine="720"/>
        <w:jc w:val="both"/>
        <w:rPr>
          <w:rFonts w:ascii="Times New Roman" w:hAnsi="Times New Roman" w:cs="Times New Roman"/>
          <w:bCs/>
          <w:sz w:val="24"/>
          <w:szCs w:val="24"/>
        </w:rPr>
      </w:pPr>
      <w:r w:rsidRPr="00C86013">
        <w:rPr>
          <w:rFonts w:ascii="Times New Roman" w:hAnsi="Times New Roman" w:cs="Times New Roman"/>
          <w:bCs/>
          <w:sz w:val="24"/>
          <w:szCs w:val="24"/>
        </w:rPr>
        <w:t>The Mega Borg was a Norwegian mar</w:t>
      </w:r>
      <w:bookmarkStart w:id="0" w:name="_GoBack"/>
      <w:bookmarkEnd w:id="0"/>
      <w:r w:rsidRPr="00C86013">
        <w:rPr>
          <w:rFonts w:ascii="Times New Roman" w:hAnsi="Times New Roman" w:cs="Times New Roman"/>
          <w:bCs/>
          <w:sz w:val="24"/>
          <w:szCs w:val="24"/>
        </w:rPr>
        <w:t xml:space="preserve">ine vessel made to transport large sums of crude oil. At the time of the incident, the </w:t>
      </w:r>
      <w:r w:rsidR="00C86013" w:rsidRPr="00C86013">
        <w:rPr>
          <w:rFonts w:ascii="Times New Roman" w:hAnsi="Times New Roman" w:cs="Times New Roman"/>
          <w:bCs/>
          <w:sz w:val="24"/>
          <w:szCs w:val="24"/>
        </w:rPr>
        <w:t>15-year-old</w:t>
      </w:r>
      <w:r w:rsidRPr="00C86013">
        <w:rPr>
          <w:rFonts w:ascii="Times New Roman" w:hAnsi="Times New Roman" w:cs="Times New Roman"/>
          <w:bCs/>
          <w:sz w:val="24"/>
          <w:szCs w:val="24"/>
        </w:rPr>
        <w:t xml:space="preserve"> </w:t>
      </w:r>
      <w:r w:rsidR="00C86013" w:rsidRPr="00C86013">
        <w:rPr>
          <w:rFonts w:ascii="Times New Roman" w:hAnsi="Times New Roman" w:cs="Times New Roman"/>
          <w:bCs/>
          <w:sz w:val="24"/>
          <w:szCs w:val="24"/>
        </w:rPr>
        <w:t>853-foot-long</w:t>
      </w:r>
      <w:r w:rsidRPr="00C86013">
        <w:rPr>
          <w:rFonts w:ascii="Times New Roman" w:hAnsi="Times New Roman" w:cs="Times New Roman"/>
          <w:bCs/>
          <w:sz w:val="24"/>
          <w:szCs w:val="24"/>
        </w:rPr>
        <w:t xml:space="preserve"> vessel was carrying approximately 38 million gallons of crude from Africa</w:t>
      </w:r>
      <w:r w:rsidR="006033DD" w:rsidRPr="00C86013">
        <w:rPr>
          <w:rFonts w:ascii="Times New Roman" w:hAnsi="Times New Roman" w:cs="Times New Roman"/>
          <w:bCs/>
          <w:sz w:val="24"/>
          <w:szCs w:val="24"/>
        </w:rPr>
        <w:t xml:space="preserve"> (</w:t>
      </w:r>
      <w:r w:rsidR="009914D7" w:rsidRPr="009914D7">
        <w:rPr>
          <w:rFonts w:ascii="Times New Roman" w:eastAsia="Times New Roman" w:hAnsi="Times New Roman" w:cs="Times New Roman"/>
          <w:color w:val="000000"/>
          <w:sz w:val="24"/>
          <w:szCs w:val="24"/>
        </w:rPr>
        <w:t>Atlas</w:t>
      </w:r>
      <w:r w:rsidR="009914D7">
        <w:rPr>
          <w:rFonts w:ascii="Times New Roman" w:eastAsia="Times New Roman" w:hAnsi="Times New Roman" w:cs="Times New Roman"/>
          <w:color w:val="000000"/>
          <w:sz w:val="24"/>
          <w:szCs w:val="24"/>
        </w:rPr>
        <w:t xml:space="preserve"> </w:t>
      </w:r>
      <w:r w:rsidR="009914D7" w:rsidRPr="009914D7">
        <w:rPr>
          <w:rFonts w:ascii="Times New Roman" w:eastAsia="Times New Roman" w:hAnsi="Times New Roman" w:cs="Times New Roman"/>
          <w:color w:val="000000"/>
          <w:sz w:val="24"/>
          <w:szCs w:val="24"/>
        </w:rPr>
        <w:t>&amp; Tribune, 1990</w:t>
      </w:r>
      <w:r w:rsidR="006033DD" w:rsidRPr="00C86013">
        <w:rPr>
          <w:rFonts w:ascii="Times New Roman" w:hAnsi="Times New Roman" w:cs="Times New Roman"/>
          <w:bCs/>
          <w:sz w:val="24"/>
          <w:szCs w:val="24"/>
        </w:rPr>
        <w:t>)</w:t>
      </w:r>
      <w:r w:rsidRPr="00C86013">
        <w:rPr>
          <w:rFonts w:ascii="Times New Roman" w:hAnsi="Times New Roman" w:cs="Times New Roman"/>
          <w:bCs/>
          <w:sz w:val="24"/>
          <w:szCs w:val="24"/>
        </w:rPr>
        <w:t xml:space="preserve">. </w:t>
      </w:r>
      <w:r w:rsidR="006033DD" w:rsidRPr="00C86013">
        <w:rPr>
          <w:rFonts w:ascii="Times New Roman" w:hAnsi="Times New Roman" w:cs="Times New Roman"/>
          <w:bCs/>
          <w:sz w:val="24"/>
          <w:szCs w:val="24"/>
        </w:rPr>
        <w:t xml:space="preserve">The Italian vessel, the Fraqmura, was also named in the incident. This vessel is smaller and at the time of the incident was receiving oil from the Mega Borg to be transported </w:t>
      </w:r>
      <w:r w:rsidR="009F761C" w:rsidRPr="00C86013">
        <w:rPr>
          <w:rFonts w:ascii="Times New Roman" w:hAnsi="Times New Roman" w:cs="Times New Roman"/>
          <w:bCs/>
          <w:sz w:val="24"/>
          <w:szCs w:val="24"/>
        </w:rPr>
        <w:t>to a Pasadena refinery (</w:t>
      </w:r>
      <w:proofErr w:type="spellStart"/>
      <w:r w:rsidR="009F761C" w:rsidRPr="00C86013">
        <w:rPr>
          <w:rFonts w:ascii="Times New Roman" w:hAnsi="Times New Roman" w:cs="Times New Roman"/>
          <w:bCs/>
          <w:sz w:val="24"/>
          <w:szCs w:val="24"/>
        </w:rPr>
        <w:t>Hlavaty</w:t>
      </w:r>
      <w:proofErr w:type="spellEnd"/>
      <w:r w:rsidR="009F761C" w:rsidRPr="00C86013">
        <w:rPr>
          <w:rFonts w:ascii="Times New Roman" w:hAnsi="Times New Roman" w:cs="Times New Roman"/>
          <w:bCs/>
          <w:sz w:val="24"/>
          <w:szCs w:val="24"/>
        </w:rPr>
        <w:t>, 2015). Due to the enormous size of ships such as the Mega Borg, it is a relatively common practice for ships to transfer oil to smaller vessels to be transported through certain ports and waterways. Another term for this practice is lightering, which is defined as a process involving ship-ship transfer of oil cargo (</w:t>
      </w:r>
      <w:proofErr w:type="spellStart"/>
      <w:r w:rsidR="009F761C" w:rsidRPr="00C86013">
        <w:rPr>
          <w:rFonts w:ascii="Times New Roman" w:hAnsi="Times New Roman" w:cs="Times New Roman"/>
          <w:bCs/>
          <w:sz w:val="24"/>
          <w:szCs w:val="24"/>
        </w:rPr>
        <w:t>Skaugen</w:t>
      </w:r>
      <w:proofErr w:type="spellEnd"/>
      <w:r w:rsidR="009F761C" w:rsidRPr="00C86013">
        <w:rPr>
          <w:rFonts w:ascii="Times New Roman" w:hAnsi="Times New Roman" w:cs="Times New Roman"/>
          <w:bCs/>
          <w:sz w:val="24"/>
          <w:szCs w:val="24"/>
        </w:rPr>
        <w:t xml:space="preserve"> </w:t>
      </w:r>
      <w:proofErr w:type="spellStart"/>
      <w:r w:rsidR="009F761C" w:rsidRPr="00C86013">
        <w:rPr>
          <w:rFonts w:ascii="Times New Roman" w:hAnsi="Times New Roman" w:cs="Times New Roman"/>
          <w:bCs/>
          <w:sz w:val="24"/>
          <w:szCs w:val="24"/>
        </w:rPr>
        <w:t>PetroTrans</w:t>
      </w:r>
      <w:proofErr w:type="spellEnd"/>
      <w:r w:rsidR="009F761C" w:rsidRPr="00C86013">
        <w:rPr>
          <w:rFonts w:ascii="Times New Roman" w:hAnsi="Times New Roman" w:cs="Times New Roman"/>
          <w:bCs/>
          <w:sz w:val="24"/>
          <w:szCs w:val="24"/>
        </w:rPr>
        <w:t xml:space="preserve"> Inc., 2014).</w:t>
      </w:r>
      <w:r w:rsidR="00972178" w:rsidRPr="00C86013">
        <w:rPr>
          <w:rFonts w:ascii="Times New Roman" w:hAnsi="Times New Roman" w:cs="Times New Roman"/>
          <w:bCs/>
          <w:sz w:val="24"/>
          <w:szCs w:val="24"/>
        </w:rPr>
        <w:t xml:space="preserve"> In the Gulf of Mexico this process is permitted within 20 to 60 </w:t>
      </w:r>
      <w:r w:rsidR="00C86013" w:rsidRPr="00C86013">
        <w:rPr>
          <w:rFonts w:ascii="Times New Roman" w:hAnsi="Times New Roman" w:cs="Times New Roman"/>
          <w:bCs/>
          <w:sz w:val="24"/>
          <w:szCs w:val="24"/>
        </w:rPr>
        <w:t>miles from</w:t>
      </w:r>
      <w:r w:rsidR="00972178" w:rsidRPr="00C86013">
        <w:rPr>
          <w:rFonts w:ascii="Times New Roman" w:hAnsi="Times New Roman" w:cs="Times New Roman"/>
          <w:bCs/>
          <w:sz w:val="24"/>
          <w:szCs w:val="24"/>
        </w:rPr>
        <w:t xml:space="preserve"> land (</w:t>
      </w:r>
      <w:proofErr w:type="spellStart"/>
      <w:r w:rsidR="00972178" w:rsidRPr="00C86013">
        <w:rPr>
          <w:rFonts w:ascii="Times New Roman" w:hAnsi="Times New Roman" w:cs="Times New Roman"/>
          <w:bCs/>
          <w:sz w:val="24"/>
          <w:szCs w:val="24"/>
        </w:rPr>
        <w:t>Skaugen</w:t>
      </w:r>
      <w:proofErr w:type="spellEnd"/>
      <w:r w:rsidR="00972178" w:rsidRPr="00C86013">
        <w:rPr>
          <w:rFonts w:ascii="Times New Roman" w:hAnsi="Times New Roman" w:cs="Times New Roman"/>
          <w:bCs/>
          <w:sz w:val="24"/>
          <w:szCs w:val="24"/>
        </w:rPr>
        <w:t xml:space="preserve"> </w:t>
      </w:r>
      <w:proofErr w:type="spellStart"/>
      <w:r w:rsidR="00972178" w:rsidRPr="00C86013">
        <w:rPr>
          <w:rFonts w:ascii="Times New Roman" w:hAnsi="Times New Roman" w:cs="Times New Roman"/>
          <w:bCs/>
          <w:sz w:val="24"/>
          <w:szCs w:val="24"/>
        </w:rPr>
        <w:t>PetroTrans</w:t>
      </w:r>
      <w:proofErr w:type="spellEnd"/>
      <w:r w:rsidR="00972178" w:rsidRPr="00C86013">
        <w:rPr>
          <w:rFonts w:ascii="Times New Roman" w:hAnsi="Times New Roman" w:cs="Times New Roman"/>
          <w:bCs/>
          <w:sz w:val="24"/>
          <w:szCs w:val="24"/>
        </w:rPr>
        <w:t xml:space="preserve"> Inc., 2014). </w:t>
      </w:r>
      <w:r w:rsidR="00500C25" w:rsidRPr="00C86013">
        <w:rPr>
          <w:rFonts w:ascii="Times New Roman" w:hAnsi="Times New Roman" w:cs="Times New Roman"/>
          <w:bCs/>
          <w:sz w:val="24"/>
          <w:szCs w:val="24"/>
        </w:rPr>
        <w:t>The Mega Borg and Fraqmura were 57 miles from land at the time of the incident (Konrad, 2010).</w:t>
      </w:r>
    </w:p>
    <w:p w14:paraId="07E7626F" w14:textId="3B9DD715" w:rsidR="00500C25" w:rsidRPr="00C86013" w:rsidRDefault="00500C25" w:rsidP="00C86013">
      <w:pPr>
        <w:spacing w:after="0" w:line="480" w:lineRule="auto"/>
        <w:ind w:firstLine="720"/>
        <w:jc w:val="both"/>
        <w:rPr>
          <w:rFonts w:ascii="Times New Roman" w:hAnsi="Times New Roman" w:cs="Times New Roman"/>
          <w:bCs/>
          <w:sz w:val="24"/>
          <w:szCs w:val="24"/>
        </w:rPr>
      </w:pPr>
      <w:r w:rsidRPr="00C86013">
        <w:rPr>
          <w:rFonts w:ascii="Times New Roman" w:hAnsi="Times New Roman" w:cs="Times New Roman"/>
          <w:bCs/>
          <w:sz w:val="24"/>
          <w:szCs w:val="24"/>
        </w:rPr>
        <w:t xml:space="preserve">In the late night hours of June 8, 1990, while the Italian vessel Fraqmura was lightering the Mega Borg an explosion occurred in the pump room of the Mega Borg. </w:t>
      </w:r>
      <w:r w:rsidR="00AC1987" w:rsidRPr="00C86013">
        <w:rPr>
          <w:rFonts w:ascii="Times New Roman" w:hAnsi="Times New Roman" w:cs="Times New Roman"/>
          <w:bCs/>
          <w:sz w:val="24"/>
          <w:szCs w:val="24"/>
        </w:rPr>
        <w:t xml:space="preserve">The initial explosion resulted in a fire breaking out in the pump room, which then spread to the engine room of the large </w:t>
      </w:r>
      <w:r w:rsidR="00AC1987" w:rsidRPr="00C86013">
        <w:rPr>
          <w:rFonts w:ascii="Times New Roman" w:hAnsi="Times New Roman" w:cs="Times New Roman"/>
          <w:bCs/>
          <w:sz w:val="24"/>
          <w:szCs w:val="24"/>
        </w:rPr>
        <w:lastRenderedPageBreak/>
        <w:t xml:space="preserve">marine vessel. </w:t>
      </w:r>
      <w:r w:rsidR="0043116E" w:rsidRPr="00C86013">
        <w:rPr>
          <w:rFonts w:ascii="Times New Roman" w:hAnsi="Times New Roman" w:cs="Times New Roman"/>
          <w:bCs/>
          <w:sz w:val="24"/>
          <w:szCs w:val="24"/>
        </w:rPr>
        <w:t>As a result of the explo</w:t>
      </w:r>
      <w:r w:rsidR="000B37DE" w:rsidRPr="00C86013">
        <w:rPr>
          <w:rFonts w:ascii="Times New Roman" w:hAnsi="Times New Roman" w:cs="Times New Roman"/>
          <w:bCs/>
          <w:sz w:val="24"/>
          <w:szCs w:val="24"/>
        </w:rPr>
        <w:t xml:space="preserve">sion, tanks on the vessel ruptured which resulted in fires fueled by the oil and gas spewing from these ruptured tanks. Over the course of the incident multiple explosions would occur. Subsequently, oil began spilling from the large vessel into the Gulf of Mexico. As the incident unfolded, the </w:t>
      </w:r>
      <w:r w:rsidR="00A75CD0" w:rsidRPr="00C86013">
        <w:rPr>
          <w:rFonts w:ascii="Times New Roman" w:hAnsi="Times New Roman" w:cs="Times New Roman"/>
          <w:bCs/>
          <w:sz w:val="24"/>
          <w:szCs w:val="24"/>
        </w:rPr>
        <w:t>Fraqmura intentionally</w:t>
      </w:r>
      <w:r w:rsidR="000B37DE" w:rsidRPr="00C86013">
        <w:rPr>
          <w:rFonts w:ascii="Times New Roman" w:hAnsi="Times New Roman" w:cs="Times New Roman"/>
          <w:bCs/>
          <w:sz w:val="24"/>
          <w:szCs w:val="24"/>
        </w:rPr>
        <w:t xml:space="preserve"> broke away from the Mega Borg, which resulted in approximately 238 barrels of oil discharging into the ocean. </w:t>
      </w:r>
      <w:r w:rsidR="004F250B" w:rsidRPr="00C86013">
        <w:rPr>
          <w:rFonts w:ascii="Times New Roman" w:hAnsi="Times New Roman" w:cs="Times New Roman"/>
          <w:bCs/>
          <w:sz w:val="24"/>
          <w:szCs w:val="24"/>
        </w:rPr>
        <w:t xml:space="preserve">The Mega Borg oil spill would ultimately be responsible for spilling approximately 4 million gallons </w:t>
      </w:r>
      <w:r w:rsidR="00A75CD0" w:rsidRPr="00C86013">
        <w:rPr>
          <w:rFonts w:ascii="Times New Roman" w:hAnsi="Times New Roman" w:cs="Times New Roman"/>
          <w:bCs/>
          <w:sz w:val="24"/>
          <w:szCs w:val="24"/>
        </w:rPr>
        <w:t xml:space="preserve">or approximately 100,000 barrels </w:t>
      </w:r>
      <w:r w:rsidR="004F250B" w:rsidRPr="00C86013">
        <w:rPr>
          <w:rFonts w:ascii="Times New Roman" w:hAnsi="Times New Roman" w:cs="Times New Roman"/>
          <w:bCs/>
          <w:sz w:val="24"/>
          <w:szCs w:val="24"/>
        </w:rPr>
        <w:t>of oil into the Gulf of Mexico</w:t>
      </w:r>
      <w:r w:rsidR="00A75CD0" w:rsidRPr="00C86013">
        <w:rPr>
          <w:rFonts w:ascii="Times New Roman" w:hAnsi="Times New Roman" w:cs="Times New Roman"/>
          <w:bCs/>
          <w:sz w:val="24"/>
          <w:szCs w:val="24"/>
        </w:rPr>
        <w:t xml:space="preserve"> (McKaig, 1990)</w:t>
      </w:r>
      <w:r w:rsidR="004F250B" w:rsidRPr="00C86013">
        <w:rPr>
          <w:rFonts w:ascii="Times New Roman" w:hAnsi="Times New Roman" w:cs="Times New Roman"/>
          <w:bCs/>
          <w:sz w:val="24"/>
          <w:szCs w:val="24"/>
        </w:rPr>
        <w:t xml:space="preserve">. </w:t>
      </w:r>
      <w:r w:rsidR="00832CD7" w:rsidRPr="00C86013">
        <w:rPr>
          <w:rFonts w:ascii="Times New Roman" w:hAnsi="Times New Roman" w:cs="Times New Roman"/>
          <w:bCs/>
          <w:sz w:val="24"/>
          <w:szCs w:val="24"/>
        </w:rPr>
        <w:t xml:space="preserve">It took approximately 8 days before the Mega Borg finally stopped leaking oil. The United States Coast Guard were the first responders to the scene to begin attempting to extinguish the massive fire. It would then take them several days to contain and extinguish the fire. According to a summary report from the NOAA, the fire was confirmed to out as of June 16 (NOAA, 1990).  </w:t>
      </w:r>
      <w:r w:rsidR="004678E7" w:rsidRPr="00C86013">
        <w:rPr>
          <w:rFonts w:ascii="Times New Roman" w:hAnsi="Times New Roman" w:cs="Times New Roman"/>
          <w:bCs/>
          <w:sz w:val="24"/>
          <w:szCs w:val="24"/>
        </w:rPr>
        <w:t>An initial report of the incident states at the time it occurred 41 crew members were on board. Of those 41, 17 were injured, 2 were confirmed dead, and two were missing and presumed dead (NY Times, 1990).</w:t>
      </w:r>
      <w:r w:rsidR="0079681C" w:rsidRPr="00C86013">
        <w:rPr>
          <w:rFonts w:ascii="Times New Roman" w:hAnsi="Times New Roman" w:cs="Times New Roman"/>
          <w:bCs/>
          <w:sz w:val="24"/>
          <w:szCs w:val="24"/>
        </w:rPr>
        <w:t xml:space="preserve"> Following </w:t>
      </w:r>
      <w:r w:rsidR="00EE3682" w:rsidRPr="00C86013">
        <w:rPr>
          <w:rFonts w:ascii="Times New Roman" w:hAnsi="Times New Roman" w:cs="Times New Roman"/>
          <w:bCs/>
          <w:sz w:val="24"/>
          <w:szCs w:val="24"/>
        </w:rPr>
        <w:t>inspection by divers, the ships hull was found to be in good condition. As part of the remediation efforts the ship was stabilized and its cargo offloaded onto multiple ships for transport.</w:t>
      </w:r>
    </w:p>
    <w:p w14:paraId="5956F48C" w14:textId="07B8E11D" w:rsidR="00576408" w:rsidRPr="00C86013" w:rsidRDefault="00576408" w:rsidP="00C86013">
      <w:pPr>
        <w:spacing w:after="0" w:line="480" w:lineRule="auto"/>
        <w:ind w:firstLine="720"/>
        <w:jc w:val="both"/>
        <w:rPr>
          <w:rFonts w:ascii="Times New Roman" w:hAnsi="Times New Roman" w:cs="Times New Roman"/>
          <w:bCs/>
          <w:sz w:val="24"/>
          <w:szCs w:val="24"/>
        </w:rPr>
      </w:pPr>
      <w:r w:rsidRPr="00C86013">
        <w:rPr>
          <w:rFonts w:ascii="Times New Roman" w:hAnsi="Times New Roman" w:cs="Times New Roman"/>
          <w:bCs/>
          <w:sz w:val="24"/>
          <w:szCs w:val="24"/>
        </w:rPr>
        <w:t xml:space="preserve">The aftermath of the oil spill included a large scale </w:t>
      </w:r>
      <w:r w:rsidR="00C86013" w:rsidRPr="00C86013">
        <w:rPr>
          <w:rFonts w:ascii="Times New Roman" w:hAnsi="Times New Roman" w:cs="Times New Roman"/>
          <w:bCs/>
          <w:sz w:val="24"/>
          <w:szCs w:val="24"/>
        </w:rPr>
        <w:t>cleanup</w:t>
      </w:r>
      <w:r w:rsidRPr="00C86013">
        <w:rPr>
          <w:rFonts w:ascii="Times New Roman" w:hAnsi="Times New Roman" w:cs="Times New Roman"/>
          <w:bCs/>
          <w:sz w:val="24"/>
          <w:szCs w:val="24"/>
        </w:rPr>
        <w:t xml:space="preserve"> of the ocean. The spill resulted in slicks up to 30 miles long. Fortunately, due to the consistency of the oil and water currents</w:t>
      </w:r>
      <w:r w:rsidR="002D0564" w:rsidRPr="00C86013">
        <w:rPr>
          <w:rFonts w:ascii="Times New Roman" w:hAnsi="Times New Roman" w:cs="Times New Roman"/>
          <w:bCs/>
          <w:sz w:val="24"/>
          <w:szCs w:val="24"/>
        </w:rPr>
        <w:t xml:space="preserve">, the potential for major impacts to coastal regions was considered low. This was also due in part to the significant amount of oil that burned up on the surface of the water. As part of the efforts to aid in avoiding significant impacts from the large amount of oil released, crews fire extinguishing efforts were confined solely to the vessel itself. Although there was some potential for environmental impact from the oil burning, authorities found it to be most beneficial to let the fires on the water </w:t>
      </w:r>
      <w:r w:rsidR="002D0564" w:rsidRPr="00C86013">
        <w:rPr>
          <w:rFonts w:ascii="Times New Roman" w:hAnsi="Times New Roman" w:cs="Times New Roman"/>
          <w:bCs/>
          <w:sz w:val="24"/>
          <w:szCs w:val="24"/>
        </w:rPr>
        <w:lastRenderedPageBreak/>
        <w:t xml:space="preserve">surface continue to burn. This would allow the oil in the water to burn off rather than spread, which would impact </w:t>
      </w:r>
      <w:r w:rsidR="00EE3682" w:rsidRPr="00C86013">
        <w:rPr>
          <w:rFonts w:ascii="Times New Roman" w:hAnsi="Times New Roman" w:cs="Times New Roman"/>
          <w:bCs/>
          <w:sz w:val="24"/>
          <w:szCs w:val="24"/>
        </w:rPr>
        <w:t>cleanup</w:t>
      </w:r>
      <w:r w:rsidR="002D0564" w:rsidRPr="00C86013">
        <w:rPr>
          <w:rFonts w:ascii="Times New Roman" w:hAnsi="Times New Roman" w:cs="Times New Roman"/>
          <w:bCs/>
          <w:sz w:val="24"/>
          <w:szCs w:val="24"/>
        </w:rPr>
        <w:t xml:space="preserve"> efforts considering the amount that was released.  Although some areas along the coast were found to have oil washed up on the beaches. </w:t>
      </w:r>
      <w:r w:rsidR="00492F27" w:rsidRPr="00C86013">
        <w:rPr>
          <w:rFonts w:ascii="Times New Roman" w:hAnsi="Times New Roman" w:cs="Times New Roman"/>
          <w:bCs/>
          <w:sz w:val="24"/>
          <w:szCs w:val="24"/>
        </w:rPr>
        <w:t>Another effort in the clean up was a first of its kind. Authorities opted to utilize a form of naturally occurring bacteria to aid in getting rid of the oil. This bioremediation process placed naturally occurring bacteria on oil slicks which would reduce the oil down to fatty acids. A representative of the state of Texas reported that within 8 hours of applying the bacteria to the remaining oil slicks, only approximately 30 percent of the oil remained (NY Times, 1990). Despite this report, there was some skepticism about whether the bacteria play</w:t>
      </w:r>
      <w:r w:rsidR="00EE714E" w:rsidRPr="00C86013">
        <w:rPr>
          <w:rFonts w:ascii="Times New Roman" w:hAnsi="Times New Roman" w:cs="Times New Roman"/>
          <w:bCs/>
          <w:sz w:val="24"/>
          <w:szCs w:val="24"/>
        </w:rPr>
        <w:t>ed</w:t>
      </w:r>
      <w:r w:rsidR="00492F27" w:rsidRPr="00C86013">
        <w:rPr>
          <w:rFonts w:ascii="Times New Roman" w:hAnsi="Times New Roman" w:cs="Times New Roman"/>
          <w:bCs/>
          <w:sz w:val="24"/>
          <w:szCs w:val="24"/>
        </w:rPr>
        <w:t xml:space="preserve"> as much of a role in remediation as was reported.  </w:t>
      </w:r>
      <w:r w:rsidR="00EE3682" w:rsidRPr="00C86013">
        <w:rPr>
          <w:rFonts w:ascii="Times New Roman" w:hAnsi="Times New Roman" w:cs="Times New Roman"/>
          <w:bCs/>
          <w:sz w:val="24"/>
          <w:szCs w:val="24"/>
        </w:rPr>
        <w:t xml:space="preserve">As of </w:t>
      </w:r>
      <w:r w:rsidR="00C33FAA" w:rsidRPr="00C86013">
        <w:rPr>
          <w:rFonts w:ascii="Times New Roman" w:hAnsi="Times New Roman" w:cs="Times New Roman"/>
          <w:bCs/>
          <w:sz w:val="24"/>
          <w:szCs w:val="24"/>
        </w:rPr>
        <w:t>June 20,</w:t>
      </w:r>
      <w:r w:rsidR="00EE3682" w:rsidRPr="00C86013">
        <w:rPr>
          <w:rFonts w:ascii="Times New Roman" w:hAnsi="Times New Roman" w:cs="Times New Roman"/>
          <w:bCs/>
          <w:sz w:val="24"/>
          <w:szCs w:val="24"/>
        </w:rPr>
        <w:t xml:space="preserve"> clean up efforts were scaled back due to the lack of recoverable oil. </w:t>
      </w:r>
      <w:r w:rsidR="00C33FAA" w:rsidRPr="00C86013">
        <w:rPr>
          <w:rFonts w:ascii="Times New Roman" w:hAnsi="Times New Roman" w:cs="Times New Roman"/>
          <w:bCs/>
          <w:sz w:val="24"/>
          <w:szCs w:val="24"/>
        </w:rPr>
        <w:t>As late as June 28, areas along the Louisiana coast were found to have tar balls wash ashore from the spill.</w:t>
      </w:r>
    </w:p>
    <w:p w14:paraId="2CC7A5A9" w14:textId="5914D2A6" w:rsidR="00C74C1B" w:rsidRPr="00C86013" w:rsidRDefault="00C74C1B" w:rsidP="00C86013">
      <w:pPr>
        <w:spacing w:after="0" w:line="480" w:lineRule="auto"/>
        <w:ind w:firstLine="720"/>
        <w:jc w:val="both"/>
        <w:rPr>
          <w:rFonts w:ascii="Times New Roman" w:hAnsi="Times New Roman" w:cs="Times New Roman"/>
          <w:bCs/>
          <w:sz w:val="24"/>
          <w:szCs w:val="24"/>
        </w:rPr>
      </w:pPr>
      <w:r w:rsidRPr="00C86013">
        <w:rPr>
          <w:rFonts w:ascii="Times New Roman" w:hAnsi="Times New Roman" w:cs="Times New Roman"/>
          <w:bCs/>
          <w:sz w:val="24"/>
          <w:szCs w:val="24"/>
        </w:rPr>
        <w:t>Differing from the Exxon Valdez incident, which was the responsibility of a U.S. run business that was operating in U.S. territories, the Mega Borg is owned by a foreign company and the incident happened in foreign waters. This initially raised concern regarding clean up costs. Although they did not claim any liability, the owners of oil aboard the Mega Borg initially stepped in to finance the cost of the clean up on behalf of the Mega Borg owners</w:t>
      </w:r>
      <w:r w:rsidR="00963306" w:rsidRPr="00C86013">
        <w:rPr>
          <w:rFonts w:ascii="Times New Roman" w:hAnsi="Times New Roman" w:cs="Times New Roman"/>
          <w:bCs/>
          <w:sz w:val="24"/>
          <w:szCs w:val="24"/>
        </w:rPr>
        <w:t xml:space="preserve"> (UPI, 1990)</w:t>
      </w:r>
      <w:r w:rsidRPr="00C86013">
        <w:rPr>
          <w:rFonts w:ascii="Times New Roman" w:hAnsi="Times New Roman" w:cs="Times New Roman"/>
          <w:bCs/>
          <w:sz w:val="24"/>
          <w:szCs w:val="24"/>
        </w:rPr>
        <w:t>. This was in part to facilitate the clean up process as the owners of the large vessel were slow to respond to the incident</w:t>
      </w:r>
      <w:r w:rsidR="00963306" w:rsidRPr="00C86013">
        <w:rPr>
          <w:rFonts w:ascii="Times New Roman" w:hAnsi="Times New Roman" w:cs="Times New Roman"/>
          <w:bCs/>
          <w:sz w:val="24"/>
          <w:szCs w:val="24"/>
        </w:rPr>
        <w:t>. In doing a significant amount of research, litigation measures were unfound in relation to the owners of the Mega Borg and any other responsible parties.</w:t>
      </w:r>
    </w:p>
    <w:p w14:paraId="0EE20126" w14:textId="1A3EF3AB" w:rsidR="00963306" w:rsidRPr="00C86013" w:rsidRDefault="00963306" w:rsidP="00C86013">
      <w:pPr>
        <w:spacing w:after="0" w:line="480" w:lineRule="auto"/>
        <w:ind w:firstLine="720"/>
        <w:jc w:val="both"/>
        <w:rPr>
          <w:rFonts w:ascii="Times New Roman" w:hAnsi="Times New Roman" w:cs="Times New Roman"/>
          <w:bCs/>
          <w:sz w:val="24"/>
          <w:szCs w:val="24"/>
        </w:rPr>
      </w:pPr>
      <w:r w:rsidRPr="00C86013">
        <w:rPr>
          <w:rFonts w:ascii="Times New Roman" w:hAnsi="Times New Roman" w:cs="Times New Roman"/>
          <w:bCs/>
          <w:sz w:val="24"/>
          <w:szCs w:val="24"/>
        </w:rPr>
        <w:t xml:space="preserve">Although legislative measures were already in the works regarding oil spills and pollution as a result of the Exxon Valdez spill, the Mega Borg incident and its timing did </w:t>
      </w:r>
      <w:r w:rsidR="0036606D" w:rsidRPr="00C86013">
        <w:rPr>
          <w:rFonts w:ascii="Times New Roman" w:hAnsi="Times New Roman" w:cs="Times New Roman"/>
          <w:bCs/>
          <w:sz w:val="24"/>
          <w:szCs w:val="24"/>
        </w:rPr>
        <w:t>influence</w:t>
      </w:r>
      <w:r w:rsidRPr="00C86013">
        <w:rPr>
          <w:rFonts w:ascii="Times New Roman" w:hAnsi="Times New Roman" w:cs="Times New Roman"/>
          <w:bCs/>
          <w:sz w:val="24"/>
          <w:szCs w:val="24"/>
        </w:rPr>
        <w:t xml:space="preserve"> </w:t>
      </w:r>
      <w:r w:rsidR="0036606D" w:rsidRPr="00C86013">
        <w:rPr>
          <w:rFonts w:ascii="Times New Roman" w:hAnsi="Times New Roman" w:cs="Times New Roman"/>
          <w:bCs/>
          <w:sz w:val="24"/>
          <w:szCs w:val="24"/>
        </w:rPr>
        <w:t>facilitating measures to be passed. One of which is the Oil Pollution Act of 1990 which was signed into law in August of 1990</w:t>
      </w:r>
      <w:r w:rsidR="00511628" w:rsidRPr="00C86013">
        <w:rPr>
          <w:rFonts w:ascii="Times New Roman" w:hAnsi="Times New Roman" w:cs="Times New Roman"/>
          <w:bCs/>
          <w:sz w:val="24"/>
          <w:szCs w:val="24"/>
        </w:rPr>
        <w:t xml:space="preserve"> (EPA, 2016)</w:t>
      </w:r>
      <w:r w:rsidR="0036606D" w:rsidRPr="00C86013">
        <w:rPr>
          <w:rFonts w:ascii="Times New Roman" w:hAnsi="Times New Roman" w:cs="Times New Roman"/>
          <w:bCs/>
          <w:sz w:val="24"/>
          <w:szCs w:val="24"/>
        </w:rPr>
        <w:t xml:space="preserve">. </w:t>
      </w:r>
      <w:r w:rsidR="00511628" w:rsidRPr="00C86013">
        <w:rPr>
          <w:rFonts w:ascii="Times New Roman" w:hAnsi="Times New Roman" w:cs="Times New Roman"/>
          <w:bCs/>
          <w:sz w:val="24"/>
          <w:szCs w:val="24"/>
        </w:rPr>
        <w:t xml:space="preserve">This act amended the Clean Water Act 1972 which </w:t>
      </w:r>
      <w:r w:rsidR="00511628" w:rsidRPr="00C86013">
        <w:rPr>
          <w:rFonts w:ascii="Times New Roman" w:hAnsi="Times New Roman" w:cs="Times New Roman"/>
          <w:bCs/>
          <w:sz w:val="24"/>
          <w:szCs w:val="24"/>
        </w:rPr>
        <w:lastRenderedPageBreak/>
        <w:t>regulated the release of pollutants in waters of the United States. According to an article published by the United States Coast Guard, the act increased federal oversite of maritime oil transportation and provides more significant environment safeguards by:</w:t>
      </w:r>
    </w:p>
    <w:p w14:paraId="3C0D4E54"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Setting new requirements for vessel construction and crew licensing and manning,</w:t>
      </w:r>
    </w:p>
    <w:p w14:paraId="6582C8C0"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Mandating contingency planning,</w:t>
      </w:r>
    </w:p>
    <w:p w14:paraId="655C5E97"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Enhancing federal response capability,</w:t>
      </w:r>
    </w:p>
    <w:p w14:paraId="23A5B5D4"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Broadening enforcement authority,</w:t>
      </w:r>
    </w:p>
    <w:p w14:paraId="273D39DE"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Increasing penalties,</w:t>
      </w:r>
    </w:p>
    <w:p w14:paraId="72E1C7CC"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Creating new research and development programs,</w:t>
      </w:r>
    </w:p>
    <w:p w14:paraId="5ABAC841" w14:textId="77777777" w:rsidR="0051162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Increasing potential liabilities, and</w:t>
      </w:r>
    </w:p>
    <w:p w14:paraId="1EF75048" w14:textId="73D9367F" w:rsidR="00FF7B78" w:rsidRPr="00C86013" w:rsidRDefault="00511628" w:rsidP="00C86013">
      <w:pPr>
        <w:numPr>
          <w:ilvl w:val="0"/>
          <w:numId w:val="2"/>
        </w:numPr>
        <w:shd w:val="clear" w:color="auto" w:fill="FFFFFF"/>
        <w:spacing w:after="0" w:line="480" w:lineRule="auto"/>
        <w:ind w:left="274"/>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Significantly broadening financial responsibility requirements</w:t>
      </w:r>
      <w:r w:rsidR="00FF7B78" w:rsidRPr="00C86013">
        <w:rPr>
          <w:rFonts w:ascii="Times New Roman" w:eastAsia="Times New Roman" w:hAnsi="Times New Roman" w:cs="Times New Roman"/>
          <w:color w:val="333333"/>
          <w:sz w:val="24"/>
          <w:szCs w:val="24"/>
        </w:rPr>
        <w:t xml:space="preserve"> (USCG, unknown)</w:t>
      </w:r>
      <w:r w:rsidRPr="00C86013">
        <w:rPr>
          <w:rFonts w:ascii="Times New Roman" w:eastAsia="Times New Roman" w:hAnsi="Times New Roman" w:cs="Times New Roman"/>
          <w:color w:val="333333"/>
          <w:sz w:val="24"/>
          <w:szCs w:val="24"/>
        </w:rPr>
        <w:t>.</w:t>
      </w:r>
    </w:p>
    <w:p w14:paraId="6F0C9DDF" w14:textId="523B15E7" w:rsidR="00FF7B78" w:rsidRPr="00C86013" w:rsidRDefault="00FF7B78" w:rsidP="00C86013">
      <w:pPr>
        <w:shd w:val="clear" w:color="auto" w:fill="FFFFFF"/>
        <w:spacing w:after="0" w:line="480" w:lineRule="auto"/>
        <w:ind w:left="274" w:firstLine="446"/>
        <w:jc w:val="both"/>
        <w:textAlignment w:val="baseline"/>
        <w:rPr>
          <w:rFonts w:ascii="Times New Roman" w:eastAsia="Times New Roman" w:hAnsi="Times New Roman" w:cs="Times New Roman"/>
          <w:color w:val="333333"/>
          <w:sz w:val="24"/>
          <w:szCs w:val="24"/>
        </w:rPr>
      </w:pPr>
      <w:r w:rsidRPr="00C86013">
        <w:rPr>
          <w:rFonts w:ascii="Times New Roman" w:eastAsia="Times New Roman" w:hAnsi="Times New Roman" w:cs="Times New Roman"/>
          <w:color w:val="333333"/>
          <w:sz w:val="24"/>
          <w:szCs w:val="24"/>
        </w:rPr>
        <w:t>The Mega Borg incident was just one of many spills the United States has been exposed to. Although its impact was not as significant as some the potential for a much larger disaster was present. Due to incidents of this nature we have much stronger laws in place to help ensure these things do not happen. In addition, it has created a significant amount of awareness to the significance of planning and response when these events do occur.</w:t>
      </w:r>
    </w:p>
    <w:p w14:paraId="7C65EE10" w14:textId="77777777" w:rsidR="007613F7" w:rsidRPr="00C86013" w:rsidRDefault="00FC480C" w:rsidP="00C86013">
      <w:pPr>
        <w:spacing w:after="0" w:line="480" w:lineRule="auto"/>
        <w:rPr>
          <w:rFonts w:ascii="Times New Roman" w:hAnsi="Times New Roman" w:cs="Times New Roman"/>
          <w:sz w:val="24"/>
          <w:szCs w:val="24"/>
        </w:rPr>
      </w:pPr>
      <w:r w:rsidRPr="00C86013">
        <w:rPr>
          <w:rFonts w:ascii="Times New Roman" w:hAnsi="Times New Roman" w:cs="Times New Roman"/>
          <w:sz w:val="24"/>
          <w:szCs w:val="24"/>
        </w:rPr>
        <w:tab/>
      </w:r>
      <w:r w:rsidRPr="00C86013">
        <w:rPr>
          <w:rFonts w:ascii="Times New Roman" w:hAnsi="Times New Roman" w:cs="Times New Roman"/>
          <w:sz w:val="24"/>
          <w:szCs w:val="24"/>
        </w:rPr>
        <w:br w:type="page"/>
      </w:r>
    </w:p>
    <w:p w14:paraId="50DE0BAE" w14:textId="77777777" w:rsidR="009914D7" w:rsidRPr="009914D7" w:rsidRDefault="009914D7" w:rsidP="009914D7">
      <w:pPr>
        <w:shd w:val="clear" w:color="auto" w:fill="FFFFFF"/>
        <w:spacing w:after="0" w:line="240" w:lineRule="auto"/>
        <w:jc w:val="center"/>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lastRenderedPageBreak/>
        <w:t>References</w:t>
      </w:r>
    </w:p>
    <w:p w14:paraId="7172E4EE" w14:textId="06BBCED0"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 xml:space="preserve">Atlas, T., &amp; Tribune, C. (1990, June 13). </w:t>
      </w:r>
      <w:proofErr w:type="spellStart"/>
      <w:r w:rsidRPr="009914D7">
        <w:rPr>
          <w:rFonts w:ascii="Times New Roman" w:eastAsia="Times New Roman" w:hAnsi="Times New Roman" w:cs="Times New Roman"/>
          <w:color w:val="000000"/>
          <w:sz w:val="24"/>
          <w:szCs w:val="24"/>
        </w:rPr>
        <w:t>Tanker`S</w:t>
      </w:r>
      <w:proofErr w:type="spellEnd"/>
      <w:r w:rsidRPr="009914D7">
        <w:rPr>
          <w:rFonts w:ascii="Times New Roman" w:eastAsia="Times New Roman" w:hAnsi="Times New Roman" w:cs="Times New Roman"/>
          <w:color w:val="000000"/>
          <w:sz w:val="24"/>
          <w:szCs w:val="24"/>
        </w:rPr>
        <w:t xml:space="preserve"> Woes May Propel Bill. Retrieved from https://www.chicagotribune.com/news/ct-xpm-1990-06-13-9002180131-story.html</w:t>
      </w:r>
    </w:p>
    <w:p w14:paraId="5FC56CAE"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Edelman, P. S. (1990). The Oil Pollution Act of 1990. Retrieved from https://core.ac.uk/download/pdf/46711507.pdf</w:t>
      </w:r>
    </w:p>
    <w:p w14:paraId="33E7308B"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t>Hlavaty</w:t>
      </w:r>
      <w:proofErr w:type="spellEnd"/>
      <w:r w:rsidRPr="009914D7">
        <w:rPr>
          <w:rFonts w:ascii="Times New Roman" w:eastAsia="Times New Roman" w:hAnsi="Times New Roman" w:cs="Times New Roman"/>
          <w:color w:val="000000"/>
          <w:sz w:val="24"/>
          <w:szCs w:val="24"/>
        </w:rPr>
        <w:t>, C. (2015, June 8). Looking back at the Mega Borg oil spill 25 years ago this week. Retrieved from https://www.chron.com/neighborhood/bayarea/news/article/Looking-back-at-the-Mega-Borg-oil-spill-25-years-6314004.php#photo-8117019</w:t>
      </w:r>
    </w:p>
    <w:p w14:paraId="473E1C76"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t>Jarashow</w:t>
      </w:r>
      <w:proofErr w:type="spellEnd"/>
      <w:r w:rsidRPr="009914D7">
        <w:rPr>
          <w:rFonts w:ascii="Times New Roman" w:eastAsia="Times New Roman" w:hAnsi="Times New Roman" w:cs="Times New Roman"/>
          <w:color w:val="000000"/>
          <w:sz w:val="24"/>
          <w:szCs w:val="24"/>
        </w:rPr>
        <w:t>, R. L. (1992). The New Regime for Oil Spill Liability in the United States. Retrieved from https://scholarlycommons.law.case.edu/cgi/viewcontent.cgi?article=2255&amp;context=cuslj</w:t>
      </w:r>
    </w:p>
    <w:p w14:paraId="34D6BE26"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t>Kennicutt</w:t>
      </w:r>
      <w:proofErr w:type="spellEnd"/>
      <w:r w:rsidRPr="009914D7">
        <w:rPr>
          <w:rFonts w:ascii="Times New Roman" w:eastAsia="Times New Roman" w:hAnsi="Times New Roman" w:cs="Times New Roman"/>
          <w:color w:val="000000"/>
          <w:sz w:val="24"/>
          <w:szCs w:val="24"/>
        </w:rPr>
        <w:t xml:space="preserve"> II, M. C., Wade, T. L., Brooks, J. M., &amp; Payne (</w:t>
      </w:r>
      <w:proofErr w:type="spellStart"/>
      <w:r w:rsidRPr="009914D7">
        <w:rPr>
          <w:rFonts w:ascii="Times New Roman" w:eastAsia="Times New Roman" w:hAnsi="Times New Roman" w:cs="Times New Roman"/>
          <w:color w:val="000000"/>
          <w:sz w:val="24"/>
          <w:szCs w:val="24"/>
        </w:rPr>
        <w:t>SAlC</w:t>
      </w:r>
      <w:proofErr w:type="spellEnd"/>
      <w:r w:rsidRPr="009914D7">
        <w:rPr>
          <w:rFonts w:ascii="Times New Roman" w:eastAsia="Times New Roman" w:hAnsi="Times New Roman" w:cs="Times New Roman"/>
          <w:color w:val="000000"/>
          <w:sz w:val="24"/>
          <w:szCs w:val="24"/>
        </w:rPr>
        <w:t>), J. (1991). The Mega Borg Incident: A Comparison of Response, Mitigation, and Impact. Retrieved from https://www.onepetro.org/conference-paper/OTC-6524-MS</w:t>
      </w:r>
    </w:p>
    <w:p w14:paraId="2D498522"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 xml:space="preserve">Konrad, J. (2010, March 28). Mega-Borg Tanker Oil Spill - Galveston, Gulf </w:t>
      </w:r>
      <w:proofErr w:type="gramStart"/>
      <w:r w:rsidRPr="009914D7">
        <w:rPr>
          <w:rFonts w:ascii="Times New Roman" w:eastAsia="Times New Roman" w:hAnsi="Times New Roman" w:cs="Times New Roman"/>
          <w:color w:val="000000"/>
          <w:sz w:val="24"/>
          <w:szCs w:val="24"/>
        </w:rPr>
        <w:t>Of</w:t>
      </w:r>
      <w:proofErr w:type="gramEnd"/>
      <w:r w:rsidRPr="009914D7">
        <w:rPr>
          <w:rFonts w:ascii="Times New Roman" w:eastAsia="Times New Roman" w:hAnsi="Times New Roman" w:cs="Times New Roman"/>
          <w:color w:val="000000"/>
          <w:sz w:val="24"/>
          <w:szCs w:val="24"/>
        </w:rPr>
        <w:t xml:space="preserve"> Mexico – </w:t>
      </w:r>
      <w:proofErr w:type="spellStart"/>
      <w:r w:rsidRPr="009914D7">
        <w:rPr>
          <w:rFonts w:ascii="Times New Roman" w:eastAsia="Times New Roman" w:hAnsi="Times New Roman" w:cs="Times New Roman"/>
          <w:color w:val="000000"/>
          <w:sz w:val="24"/>
          <w:szCs w:val="24"/>
        </w:rPr>
        <w:t>gCaptain</w:t>
      </w:r>
      <w:proofErr w:type="spellEnd"/>
      <w:r w:rsidRPr="009914D7">
        <w:rPr>
          <w:rFonts w:ascii="Times New Roman" w:eastAsia="Times New Roman" w:hAnsi="Times New Roman" w:cs="Times New Roman"/>
          <w:color w:val="000000"/>
          <w:sz w:val="24"/>
          <w:szCs w:val="24"/>
        </w:rPr>
        <w:t>. Retrieved from https://gcaptain.com/mega-borg-tanker-spill-galveston/</w:t>
      </w:r>
    </w:p>
    <w:p w14:paraId="78852E35"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M/V Mega Borg. (1990, June 8). Retrieved from https://incidentnews.noaa.gov/incident/6748#!</w:t>
      </w:r>
    </w:p>
    <w:p w14:paraId="284AA4B0"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t>McKaig</w:t>
      </w:r>
      <w:proofErr w:type="spellEnd"/>
      <w:r w:rsidRPr="009914D7">
        <w:rPr>
          <w:rFonts w:ascii="Times New Roman" w:eastAsia="Times New Roman" w:hAnsi="Times New Roman" w:cs="Times New Roman"/>
          <w:color w:val="000000"/>
          <w:sz w:val="24"/>
          <w:szCs w:val="24"/>
        </w:rPr>
        <w:t>, A. (1990). Liability for Oil Tanker Spills. Retrieved from https://scholar.smu.edu/cgi/viewcontent.cgi?article=2852&amp;context=smulr</w:t>
      </w:r>
    </w:p>
    <w:p w14:paraId="529CAA1C"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Oil Pollution Act of 1990. (</w:t>
      </w:r>
      <w:proofErr w:type="spellStart"/>
      <w:r w:rsidRPr="009914D7">
        <w:rPr>
          <w:rFonts w:ascii="Times New Roman" w:eastAsia="Times New Roman" w:hAnsi="Times New Roman" w:cs="Times New Roman"/>
          <w:color w:val="000000"/>
          <w:sz w:val="24"/>
          <w:szCs w:val="24"/>
        </w:rPr>
        <w:t>n.d.</w:t>
      </w:r>
      <w:proofErr w:type="spellEnd"/>
      <w:r w:rsidRPr="009914D7">
        <w:rPr>
          <w:rFonts w:ascii="Times New Roman" w:eastAsia="Times New Roman" w:hAnsi="Times New Roman" w:cs="Times New Roman"/>
          <w:color w:val="000000"/>
          <w:sz w:val="24"/>
          <w:szCs w:val="24"/>
        </w:rPr>
        <w:t>). Retrieved from https://www.uscg.mil/Mariners/National-Pollution-Funds-Center/About_NPFC/OPA/</w:t>
      </w:r>
    </w:p>
    <w:p w14:paraId="5F36DA86"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Oil Pollution Act Overview. (</w:t>
      </w:r>
      <w:proofErr w:type="spellStart"/>
      <w:r w:rsidRPr="009914D7">
        <w:rPr>
          <w:rFonts w:ascii="Times New Roman" w:eastAsia="Times New Roman" w:hAnsi="Times New Roman" w:cs="Times New Roman"/>
          <w:color w:val="000000"/>
          <w:sz w:val="24"/>
          <w:szCs w:val="24"/>
        </w:rPr>
        <w:t>n.d.</w:t>
      </w:r>
      <w:proofErr w:type="spellEnd"/>
      <w:r w:rsidRPr="009914D7">
        <w:rPr>
          <w:rFonts w:ascii="Times New Roman" w:eastAsia="Times New Roman" w:hAnsi="Times New Roman" w:cs="Times New Roman"/>
          <w:color w:val="000000"/>
          <w:sz w:val="24"/>
          <w:szCs w:val="24"/>
        </w:rPr>
        <w:t>). Retrieved from https://archive.epa.gov/emergencies/content/lawsregs/web/html/opaover.html</w:t>
      </w:r>
    </w:p>
    <w:p w14:paraId="566A252A"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lastRenderedPageBreak/>
        <w:t>Rraczyk</w:t>
      </w:r>
      <w:proofErr w:type="spellEnd"/>
      <w:r w:rsidRPr="009914D7">
        <w:rPr>
          <w:rFonts w:ascii="Times New Roman" w:eastAsia="Times New Roman" w:hAnsi="Times New Roman" w:cs="Times New Roman"/>
          <w:color w:val="000000"/>
          <w:sz w:val="24"/>
          <w:szCs w:val="24"/>
        </w:rPr>
        <w:t xml:space="preserve">, M. (1990, June 15). Heavy Equipment and Tiny Microbes Hauled Out </w:t>
      </w:r>
      <w:proofErr w:type="gramStart"/>
      <w:r w:rsidRPr="009914D7">
        <w:rPr>
          <w:rFonts w:ascii="Times New Roman" w:eastAsia="Times New Roman" w:hAnsi="Times New Roman" w:cs="Times New Roman"/>
          <w:color w:val="000000"/>
          <w:sz w:val="24"/>
          <w:szCs w:val="24"/>
        </w:rPr>
        <w:t>To</w:t>
      </w:r>
      <w:proofErr w:type="gramEnd"/>
      <w:r w:rsidRPr="009914D7">
        <w:rPr>
          <w:rFonts w:ascii="Times New Roman" w:eastAsia="Times New Roman" w:hAnsi="Times New Roman" w:cs="Times New Roman"/>
          <w:color w:val="000000"/>
          <w:sz w:val="24"/>
          <w:szCs w:val="24"/>
        </w:rPr>
        <w:t xml:space="preserve"> Battle Leak. Retrieved from https://apnews.com/c03e974fcfe38870ded86de5e0506b6f</w:t>
      </w:r>
    </w:p>
    <w:p w14:paraId="412097F8"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t>Sedwick</w:t>
      </w:r>
      <w:proofErr w:type="spellEnd"/>
      <w:r w:rsidRPr="009914D7">
        <w:rPr>
          <w:rFonts w:ascii="Times New Roman" w:eastAsia="Times New Roman" w:hAnsi="Times New Roman" w:cs="Times New Roman"/>
          <w:color w:val="000000"/>
          <w:sz w:val="24"/>
          <w:szCs w:val="24"/>
        </w:rPr>
        <w:t> M. (1990). FIRE ABOARD MEGA BORG. Retrieved from https://trid.trb.org/view/407059</w:t>
      </w:r>
    </w:p>
    <w:p w14:paraId="1A72EB86"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proofErr w:type="spellStart"/>
      <w:r w:rsidRPr="009914D7">
        <w:rPr>
          <w:rFonts w:ascii="Times New Roman" w:eastAsia="Times New Roman" w:hAnsi="Times New Roman" w:cs="Times New Roman"/>
          <w:color w:val="000000"/>
          <w:sz w:val="24"/>
          <w:szCs w:val="24"/>
        </w:rPr>
        <w:t>Skaugen</w:t>
      </w:r>
      <w:proofErr w:type="spellEnd"/>
      <w:r w:rsidRPr="009914D7">
        <w:rPr>
          <w:rFonts w:ascii="Times New Roman" w:eastAsia="Times New Roman" w:hAnsi="Times New Roman" w:cs="Times New Roman"/>
          <w:color w:val="000000"/>
          <w:sz w:val="24"/>
          <w:szCs w:val="24"/>
        </w:rPr>
        <w:t xml:space="preserve"> </w:t>
      </w:r>
      <w:proofErr w:type="spellStart"/>
      <w:r w:rsidRPr="009914D7">
        <w:rPr>
          <w:rFonts w:ascii="Times New Roman" w:eastAsia="Times New Roman" w:hAnsi="Times New Roman" w:cs="Times New Roman"/>
          <w:color w:val="000000"/>
          <w:sz w:val="24"/>
          <w:szCs w:val="24"/>
        </w:rPr>
        <w:t>Kaugen</w:t>
      </w:r>
      <w:proofErr w:type="spellEnd"/>
      <w:r w:rsidRPr="009914D7">
        <w:rPr>
          <w:rFonts w:ascii="Times New Roman" w:eastAsia="Times New Roman" w:hAnsi="Times New Roman" w:cs="Times New Roman"/>
          <w:color w:val="000000"/>
          <w:sz w:val="24"/>
          <w:szCs w:val="24"/>
        </w:rPr>
        <w:t xml:space="preserve"> Petro </w:t>
      </w:r>
      <w:proofErr w:type="spellStart"/>
      <w:r w:rsidRPr="009914D7">
        <w:rPr>
          <w:rFonts w:ascii="Times New Roman" w:eastAsia="Times New Roman" w:hAnsi="Times New Roman" w:cs="Times New Roman"/>
          <w:color w:val="000000"/>
          <w:sz w:val="24"/>
          <w:szCs w:val="24"/>
        </w:rPr>
        <w:t>Etrotrans</w:t>
      </w:r>
      <w:proofErr w:type="spellEnd"/>
      <w:r w:rsidRPr="009914D7">
        <w:rPr>
          <w:rFonts w:ascii="Times New Roman" w:eastAsia="Times New Roman" w:hAnsi="Times New Roman" w:cs="Times New Roman"/>
          <w:color w:val="000000"/>
          <w:sz w:val="24"/>
          <w:szCs w:val="24"/>
        </w:rPr>
        <w:t xml:space="preserve"> Rans Inc. </w:t>
      </w:r>
      <w:proofErr w:type="spellStart"/>
      <w:r w:rsidRPr="009914D7">
        <w:rPr>
          <w:rFonts w:ascii="Times New Roman" w:eastAsia="Times New Roman" w:hAnsi="Times New Roman" w:cs="Times New Roman"/>
          <w:color w:val="000000"/>
          <w:sz w:val="24"/>
          <w:szCs w:val="24"/>
        </w:rPr>
        <w:t>Nc</w:t>
      </w:r>
      <w:proofErr w:type="spellEnd"/>
      <w:r w:rsidRPr="009914D7">
        <w:rPr>
          <w:rFonts w:ascii="Times New Roman" w:eastAsia="Times New Roman" w:hAnsi="Times New Roman" w:cs="Times New Roman"/>
          <w:color w:val="000000"/>
          <w:sz w:val="24"/>
          <w:szCs w:val="24"/>
        </w:rPr>
        <w:t>. (</w:t>
      </w:r>
      <w:proofErr w:type="spellStart"/>
      <w:r w:rsidRPr="009914D7">
        <w:rPr>
          <w:rFonts w:ascii="Times New Roman" w:eastAsia="Times New Roman" w:hAnsi="Times New Roman" w:cs="Times New Roman"/>
          <w:color w:val="000000"/>
          <w:sz w:val="24"/>
          <w:szCs w:val="24"/>
        </w:rPr>
        <w:t>n.d.</w:t>
      </w:r>
      <w:proofErr w:type="spellEnd"/>
      <w:r w:rsidRPr="009914D7">
        <w:rPr>
          <w:rFonts w:ascii="Times New Roman" w:eastAsia="Times New Roman" w:hAnsi="Times New Roman" w:cs="Times New Roman"/>
          <w:color w:val="000000"/>
          <w:sz w:val="24"/>
          <w:szCs w:val="24"/>
        </w:rPr>
        <w:t>). Lightering 101 - Introduction to Lightering. Retrieved from https://teekay.com/wp-content/uploads/2014/11/Lightering101.pdf</w:t>
      </w:r>
    </w:p>
    <w:p w14:paraId="45C232C5" w14:textId="77777777" w:rsidR="009914D7" w:rsidRPr="009914D7" w:rsidRDefault="009914D7" w:rsidP="009914D7">
      <w:pPr>
        <w:shd w:val="clear" w:color="auto" w:fill="FFFFFF"/>
        <w:spacing w:after="0" w:line="550" w:lineRule="atLeast"/>
        <w:ind w:left="720" w:right="75" w:hanging="720"/>
        <w:rPr>
          <w:rFonts w:ascii="Times New Roman" w:eastAsia="Times New Roman" w:hAnsi="Times New Roman" w:cs="Times New Roman"/>
          <w:color w:val="000000"/>
          <w:sz w:val="24"/>
          <w:szCs w:val="24"/>
        </w:rPr>
      </w:pPr>
      <w:r w:rsidRPr="009914D7">
        <w:rPr>
          <w:rFonts w:ascii="Times New Roman" w:eastAsia="Times New Roman" w:hAnsi="Times New Roman" w:cs="Times New Roman"/>
          <w:color w:val="000000"/>
          <w:sz w:val="24"/>
          <w:szCs w:val="24"/>
        </w:rPr>
        <w:t>UPI ARCHIVES. (1990, June 14). Cost of Mega Borg spill containment growing. Retrieved from https://www.upi.com/Archives/1990/06/14/Cost-of-Mega-Borg-spill-containment-growing/6973645336000/</w:t>
      </w:r>
    </w:p>
    <w:p w14:paraId="0A8AC0D8" w14:textId="087D7AD6" w:rsidR="0036606D" w:rsidRPr="00C86013" w:rsidRDefault="0036606D" w:rsidP="00C86013">
      <w:pPr>
        <w:spacing w:after="0" w:line="480" w:lineRule="auto"/>
        <w:rPr>
          <w:rFonts w:ascii="Times New Roman" w:eastAsia="Times New Roman" w:hAnsi="Times New Roman" w:cs="Times New Roman"/>
          <w:b/>
          <w:bCs/>
          <w:color w:val="212121"/>
          <w:kern w:val="36"/>
          <w:sz w:val="24"/>
          <w:szCs w:val="24"/>
        </w:rPr>
      </w:pPr>
    </w:p>
    <w:sectPr w:rsidR="0036606D" w:rsidRPr="00C86013" w:rsidSect="00107C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6C645A" w14:textId="77777777" w:rsidR="00DA2928" w:rsidRDefault="00DA2928">
      <w:pPr>
        <w:spacing w:after="0" w:line="240" w:lineRule="auto"/>
      </w:pPr>
      <w:r>
        <w:separator/>
      </w:r>
    </w:p>
  </w:endnote>
  <w:endnote w:type="continuationSeparator" w:id="0">
    <w:p w14:paraId="5D7CC872" w14:textId="77777777" w:rsidR="00DA2928" w:rsidRDefault="00DA29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7EBF6" w14:textId="77777777" w:rsidR="00DA2928" w:rsidRDefault="00DA2928">
      <w:pPr>
        <w:spacing w:after="0" w:line="240" w:lineRule="auto"/>
      </w:pPr>
      <w:r>
        <w:separator/>
      </w:r>
    </w:p>
  </w:footnote>
  <w:footnote w:type="continuationSeparator" w:id="0">
    <w:p w14:paraId="075C1D11" w14:textId="77777777" w:rsidR="00DA2928" w:rsidRDefault="00DA29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0E7344" w14:textId="49BBE0DB" w:rsidR="004F250B" w:rsidRPr="00C86013" w:rsidRDefault="00C86013" w:rsidP="00C86013">
    <w:pPr>
      <w:pStyle w:val="Header"/>
    </w:pPr>
    <w:r>
      <w:rPr>
        <w:rFonts w:ascii="Times New Roman" w:hAnsi="Times New Roman" w:cs="Times New Roman"/>
        <w:bCs/>
        <w:sz w:val="24"/>
        <w:szCs w:val="24"/>
      </w:rPr>
      <w:t>MEGA BORG INCIDENT</w:t>
    </w:r>
    <w:r>
      <w:rPr>
        <w:rFonts w:ascii="Times New Roman" w:hAnsi="Times New Roman" w:cs="Times New Roman"/>
        <w:bCs/>
        <w:sz w:val="24"/>
        <w:szCs w:val="24"/>
      </w:rPr>
      <w:tab/>
    </w:r>
    <w:r>
      <w:rPr>
        <w:rFonts w:ascii="Times New Roman" w:hAnsi="Times New Roman" w:cs="Times New Roman"/>
        <w:bCs/>
        <w:sz w:val="24"/>
        <w:szCs w:val="24"/>
      </w:rPr>
      <w:tab/>
      <w:t xml:space="preserve">         1</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A6CDA9" w14:textId="1BFB736B" w:rsidR="004F250B" w:rsidRPr="00107C5E" w:rsidRDefault="00C86013" w:rsidP="00C86013">
    <w:pPr>
      <w:rPr>
        <w:rFonts w:ascii="Times New Roman" w:hAnsi="Times New Roman" w:cs="Times New Roman"/>
        <w:bCs/>
        <w:sz w:val="24"/>
        <w:szCs w:val="24"/>
      </w:rPr>
    </w:pPr>
    <w:r>
      <w:rPr>
        <w:rFonts w:ascii="Times New Roman" w:hAnsi="Times New Roman" w:cs="Times New Roman"/>
        <w:bCs/>
        <w:sz w:val="24"/>
        <w:szCs w:val="24"/>
      </w:rPr>
      <w:t>Running h</w:t>
    </w:r>
    <w:r w:rsidR="004F250B" w:rsidRPr="00107C5E">
      <w:rPr>
        <w:rFonts w:ascii="Times New Roman" w:hAnsi="Times New Roman" w:cs="Times New Roman"/>
        <w:bCs/>
        <w:sz w:val="24"/>
        <w:szCs w:val="24"/>
      </w:rPr>
      <w:t xml:space="preserve">ead: </w:t>
    </w:r>
    <w:r>
      <w:rPr>
        <w:rFonts w:ascii="Times New Roman" w:hAnsi="Times New Roman" w:cs="Times New Roman"/>
        <w:bCs/>
        <w:sz w:val="24"/>
        <w:szCs w:val="24"/>
      </w:rPr>
      <w:t>MEGA BORG INCIDENT</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356796"/>
    <w:multiLevelType w:val="multilevel"/>
    <w:tmpl w:val="7F346CC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3424881"/>
    <w:multiLevelType w:val="hybridMultilevel"/>
    <w:tmpl w:val="6DB08FF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7ACB"/>
    <w:rsid w:val="00027312"/>
    <w:rsid w:val="0004747D"/>
    <w:rsid w:val="00056742"/>
    <w:rsid w:val="000745FC"/>
    <w:rsid w:val="000A08C6"/>
    <w:rsid w:val="000B37DE"/>
    <w:rsid w:val="000B7ACB"/>
    <w:rsid w:val="000D3FC1"/>
    <w:rsid w:val="00107C5E"/>
    <w:rsid w:val="001204F3"/>
    <w:rsid w:val="001463D9"/>
    <w:rsid w:val="00155FC8"/>
    <w:rsid w:val="001A44D9"/>
    <w:rsid w:val="001C63D6"/>
    <w:rsid w:val="0025423C"/>
    <w:rsid w:val="002A75E0"/>
    <w:rsid w:val="002D0564"/>
    <w:rsid w:val="00305569"/>
    <w:rsid w:val="0034464C"/>
    <w:rsid w:val="003447B8"/>
    <w:rsid w:val="0036606D"/>
    <w:rsid w:val="003B36BD"/>
    <w:rsid w:val="0043116E"/>
    <w:rsid w:val="00455CB5"/>
    <w:rsid w:val="004678E7"/>
    <w:rsid w:val="00492F27"/>
    <w:rsid w:val="004D3588"/>
    <w:rsid w:val="004E29E7"/>
    <w:rsid w:val="004E3C61"/>
    <w:rsid w:val="004F250B"/>
    <w:rsid w:val="00500C25"/>
    <w:rsid w:val="00511628"/>
    <w:rsid w:val="00576408"/>
    <w:rsid w:val="00590AAE"/>
    <w:rsid w:val="005B669A"/>
    <w:rsid w:val="005F7702"/>
    <w:rsid w:val="006033DD"/>
    <w:rsid w:val="0066262D"/>
    <w:rsid w:val="007613F7"/>
    <w:rsid w:val="0079681C"/>
    <w:rsid w:val="00832CD7"/>
    <w:rsid w:val="008330FB"/>
    <w:rsid w:val="008D1027"/>
    <w:rsid w:val="008F18E9"/>
    <w:rsid w:val="009459F0"/>
    <w:rsid w:val="00953F03"/>
    <w:rsid w:val="00963306"/>
    <w:rsid w:val="00972178"/>
    <w:rsid w:val="0097593C"/>
    <w:rsid w:val="009914D7"/>
    <w:rsid w:val="009D154E"/>
    <w:rsid w:val="009D5F15"/>
    <w:rsid w:val="009F761C"/>
    <w:rsid w:val="00A07560"/>
    <w:rsid w:val="00A12F3D"/>
    <w:rsid w:val="00A13C5B"/>
    <w:rsid w:val="00A3490B"/>
    <w:rsid w:val="00A75CD0"/>
    <w:rsid w:val="00AC1987"/>
    <w:rsid w:val="00AD1175"/>
    <w:rsid w:val="00B07819"/>
    <w:rsid w:val="00B84CEC"/>
    <w:rsid w:val="00BA12D2"/>
    <w:rsid w:val="00BE1D90"/>
    <w:rsid w:val="00C12C75"/>
    <w:rsid w:val="00C33FAA"/>
    <w:rsid w:val="00C36BF3"/>
    <w:rsid w:val="00C464EF"/>
    <w:rsid w:val="00C56D7F"/>
    <w:rsid w:val="00C74C1B"/>
    <w:rsid w:val="00C86013"/>
    <w:rsid w:val="00CF2774"/>
    <w:rsid w:val="00CF2A3A"/>
    <w:rsid w:val="00D10348"/>
    <w:rsid w:val="00D63065"/>
    <w:rsid w:val="00D64008"/>
    <w:rsid w:val="00DA2928"/>
    <w:rsid w:val="00DB1905"/>
    <w:rsid w:val="00DD22F0"/>
    <w:rsid w:val="00DE3854"/>
    <w:rsid w:val="00E04ED3"/>
    <w:rsid w:val="00ED5562"/>
    <w:rsid w:val="00EE2E63"/>
    <w:rsid w:val="00EE3682"/>
    <w:rsid w:val="00EE62E1"/>
    <w:rsid w:val="00EE6E6D"/>
    <w:rsid w:val="00EE714E"/>
    <w:rsid w:val="00FC480C"/>
    <w:rsid w:val="00FF7B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4BCCD"/>
  <w15:chartTrackingRefBased/>
  <w15:docId w15:val="{BB557D56-7CA7-4E14-B45D-59FB4D8737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50" w:line="300" w:lineRule="atLeast"/>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E3C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4E3C61"/>
  </w:style>
  <w:style w:type="paragraph" w:styleId="Footer">
    <w:name w:val="footer"/>
    <w:basedOn w:val="Normal"/>
    <w:link w:val="FooterChar"/>
    <w:uiPriority w:val="99"/>
    <w:unhideWhenUsed/>
    <w:rsid w:val="004E3C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4E3C61"/>
  </w:style>
  <w:style w:type="character" w:styleId="Hyperlink">
    <w:name w:val="Hyperlink"/>
    <w:basedOn w:val="DefaultParagraphFont"/>
    <w:uiPriority w:val="99"/>
    <w:unhideWhenUsed/>
    <w:rsid w:val="0097593C"/>
    <w:rPr>
      <w:color w:val="0000FF"/>
      <w:u w:val="single"/>
    </w:rPr>
  </w:style>
  <w:style w:type="character" w:customStyle="1" w:styleId="UnresolvedMention1">
    <w:name w:val="Unresolved Mention1"/>
    <w:basedOn w:val="DefaultParagraphFont"/>
    <w:uiPriority w:val="99"/>
    <w:semiHidden/>
    <w:unhideWhenUsed/>
    <w:rsid w:val="00CF2A3A"/>
    <w:rPr>
      <w:color w:val="605E5C"/>
      <w:shd w:val="clear" w:color="auto" w:fill="E1DFDD"/>
    </w:rPr>
  </w:style>
  <w:style w:type="paragraph" w:styleId="ListParagraph">
    <w:name w:val="List Paragraph"/>
    <w:basedOn w:val="Normal"/>
    <w:uiPriority w:val="34"/>
    <w:qFormat/>
    <w:rsid w:val="00455CB5"/>
    <w:pPr>
      <w:ind w:left="720"/>
      <w:contextualSpacing/>
    </w:pPr>
  </w:style>
  <w:style w:type="character" w:customStyle="1" w:styleId="UnresolvedMention">
    <w:name w:val="Unresolved Mention"/>
    <w:basedOn w:val="DefaultParagraphFont"/>
    <w:uiPriority w:val="99"/>
    <w:rsid w:val="0036606D"/>
    <w:rPr>
      <w:color w:val="605E5C"/>
      <w:shd w:val="clear" w:color="auto" w:fill="E1DFDD"/>
    </w:rPr>
  </w:style>
  <w:style w:type="paragraph" w:customStyle="1" w:styleId="cpformat">
    <w:name w:val="cpformat"/>
    <w:basedOn w:val="Normal"/>
    <w:rsid w:val="009914D7"/>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81974161">
      <w:bodyDiv w:val="1"/>
      <w:marLeft w:val="0"/>
      <w:marRight w:val="0"/>
      <w:marTop w:val="0"/>
      <w:marBottom w:val="0"/>
      <w:divBdr>
        <w:top w:val="none" w:sz="0" w:space="0" w:color="auto"/>
        <w:left w:val="none" w:sz="0" w:space="0" w:color="auto"/>
        <w:bottom w:val="none" w:sz="0" w:space="0" w:color="auto"/>
        <w:right w:val="none" w:sz="0" w:space="0" w:color="auto"/>
      </w:divBdr>
    </w:div>
    <w:div w:id="1315529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E97A43-E4E0-4729-897F-108E8AA63A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1443</Words>
  <Characters>8227</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Ryan Friesz</dc:creator>
  <cp:lastModifiedBy>Windows User</cp:lastModifiedBy>
  <cp:revision>2</cp:revision>
  <dcterms:created xsi:type="dcterms:W3CDTF">2020-01-18T06:16:00Z</dcterms:created>
  <dcterms:modified xsi:type="dcterms:W3CDTF">2020-01-18T06:16:00Z</dcterms:modified>
</cp:coreProperties>
</file>